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9C" w:rsidRPr="001653FB" w:rsidRDefault="00E24E9C" w:rsidP="00E24E9C">
      <w:pPr>
        <w:spacing w:before="120" w:line="240" w:lineRule="auto"/>
        <w:jc w:val="right"/>
        <w:rPr>
          <w:color w:val="000000" w:themeColor="text1"/>
          <w:lang w:val="ro-RO"/>
        </w:rPr>
      </w:pPr>
      <w:r w:rsidRPr="001653FB">
        <w:rPr>
          <w:color w:val="000000" w:themeColor="text1"/>
          <w:lang w:val="ro-RO"/>
        </w:rPr>
        <w:t xml:space="preserve">Nr. </w:t>
      </w:r>
      <w:r w:rsidR="00BD3665">
        <w:rPr>
          <w:color w:val="000000" w:themeColor="text1"/>
          <w:lang w:val="ro-RO"/>
        </w:rPr>
        <w:t xml:space="preserve"> </w:t>
      </w:r>
      <w:r w:rsidR="00D32482">
        <w:rPr>
          <w:color w:val="000000" w:themeColor="text1"/>
          <w:lang w:val="ro-RO"/>
        </w:rPr>
        <w:t>10</w:t>
      </w:r>
      <w:r w:rsidRPr="001653FB">
        <w:rPr>
          <w:color w:val="000000" w:themeColor="text1"/>
          <w:lang w:val="ro-RO"/>
        </w:rPr>
        <w:t>/</w:t>
      </w:r>
      <w:r w:rsidR="00D32482">
        <w:rPr>
          <w:color w:val="000000" w:themeColor="text1"/>
          <w:lang w:val="ro-RO"/>
        </w:rPr>
        <w:t>1181/2019/29</w:t>
      </w:r>
      <w:bookmarkStart w:id="0" w:name="_GoBack"/>
      <w:bookmarkEnd w:id="0"/>
      <w:r w:rsidR="009F30AC">
        <w:rPr>
          <w:color w:val="000000" w:themeColor="text1"/>
          <w:lang w:val="ro-RO"/>
        </w:rPr>
        <w:t>.01.2020</w:t>
      </w:r>
    </w:p>
    <w:p w:rsidR="00522540" w:rsidRPr="00E649EC" w:rsidRDefault="00522540" w:rsidP="00006923">
      <w:pPr>
        <w:spacing w:before="120"/>
        <w:ind w:left="6338" w:right="417" w:firstLine="862"/>
        <w:jc w:val="right"/>
        <w:rPr>
          <w:b/>
          <w:lang w:val="ro-RO"/>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22540" w:rsidRPr="00E649EC" w:rsidTr="007F70A8">
        <w:tc>
          <w:tcPr>
            <w:tcW w:w="4438" w:type="dxa"/>
          </w:tcPr>
          <w:p w:rsidR="00522540" w:rsidRDefault="00522540" w:rsidP="00006923">
            <w:pPr>
              <w:spacing w:before="120"/>
              <w:ind w:left="0" w:right="417"/>
              <w:jc w:val="right"/>
              <w:rPr>
                <w:b/>
                <w:lang w:val="ro-RO"/>
              </w:rPr>
            </w:pPr>
          </w:p>
          <w:p w:rsidR="00BD3665" w:rsidRDefault="00BD3665" w:rsidP="00006923">
            <w:pPr>
              <w:spacing w:before="120"/>
              <w:ind w:left="0" w:right="417"/>
              <w:jc w:val="right"/>
              <w:rPr>
                <w:b/>
                <w:lang w:val="ro-RO"/>
              </w:rPr>
            </w:pPr>
          </w:p>
          <w:p w:rsidR="00BD3665" w:rsidRPr="00E649EC" w:rsidRDefault="00BD3665" w:rsidP="00006923">
            <w:pPr>
              <w:spacing w:before="120"/>
              <w:ind w:left="0" w:right="417"/>
              <w:jc w:val="right"/>
              <w:rPr>
                <w:b/>
                <w:lang w:val="ro-RO"/>
              </w:rPr>
            </w:pPr>
          </w:p>
        </w:tc>
      </w:tr>
    </w:tbl>
    <w:p w:rsidR="00053791" w:rsidRPr="00E649EC" w:rsidRDefault="00053791" w:rsidP="006621F2">
      <w:pPr>
        <w:spacing w:before="120"/>
        <w:ind w:left="6338" w:right="417" w:firstLine="862"/>
        <w:rPr>
          <w:b/>
          <w:lang w:val="ro-RO"/>
        </w:rPr>
      </w:pPr>
    </w:p>
    <w:p w:rsidR="00394923" w:rsidRDefault="00394923" w:rsidP="00006923">
      <w:pPr>
        <w:spacing w:before="120"/>
        <w:ind w:left="-142" w:right="417"/>
        <w:jc w:val="center"/>
        <w:rPr>
          <w:b/>
          <w:lang w:val="ro-RO"/>
        </w:rPr>
      </w:pPr>
    </w:p>
    <w:p w:rsidR="00394923" w:rsidRDefault="00394923" w:rsidP="00006923">
      <w:pPr>
        <w:spacing w:before="120"/>
        <w:ind w:left="-142" w:right="417"/>
        <w:jc w:val="center"/>
        <w:rPr>
          <w:b/>
          <w:lang w:val="ro-RO"/>
        </w:rPr>
      </w:pPr>
    </w:p>
    <w:p w:rsidR="00E757DC" w:rsidRPr="00E649EC" w:rsidRDefault="00E757DC" w:rsidP="00006923">
      <w:pPr>
        <w:spacing w:before="120"/>
        <w:ind w:left="-142" w:right="417"/>
        <w:jc w:val="center"/>
        <w:rPr>
          <w:b/>
          <w:lang w:val="ro-RO"/>
        </w:rPr>
      </w:pPr>
      <w:r w:rsidRPr="00E649EC">
        <w:rPr>
          <w:b/>
          <w:lang w:val="ro-RO"/>
        </w:rPr>
        <w:t>CAIET DE SARCINI</w:t>
      </w: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2830CD">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2830CD">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2830CD">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2830CD">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2830CD">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006923">
      <w:pPr>
        <w:spacing w:before="120" w:after="0" w:line="240" w:lineRule="auto"/>
        <w:ind w:left="567"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2019AF" w:rsidRDefault="006533D7" w:rsidP="00006923">
      <w:pPr>
        <w:spacing w:before="120" w:after="0" w:line="240" w:lineRule="auto"/>
        <w:ind w:left="-142" w:right="49"/>
        <w:rPr>
          <w:lang w:val="ro-RO"/>
        </w:rPr>
      </w:pPr>
      <w:r w:rsidRPr="002019AF">
        <w:rPr>
          <w:lang w:val="ro-RO"/>
        </w:rPr>
        <w:t>2</w:t>
      </w:r>
      <w:r w:rsidR="00E757DC" w:rsidRPr="002019AF">
        <w:rPr>
          <w:lang w:val="ro-RO"/>
        </w:rPr>
        <w:t>.2</w:t>
      </w:r>
      <w:r w:rsidR="00175D05" w:rsidRPr="002019AF">
        <w:rPr>
          <w:lang w:val="ro-RO"/>
        </w:rPr>
        <w:t>.</w:t>
      </w:r>
      <w:r w:rsidR="00E757DC" w:rsidRPr="002019AF">
        <w:rPr>
          <w:lang w:val="ro-RO"/>
        </w:rPr>
        <w:t xml:space="preserve"> Descrierea cadrului existent din sectorul relevant</w:t>
      </w:r>
      <w:r w:rsidR="00503810">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 xml:space="preserve">în vederea stabilirii valorii </w:t>
      </w:r>
      <w:r w:rsidR="002907DD" w:rsidRPr="001457C7">
        <w:rPr>
          <w:rStyle w:val="l5def1"/>
          <w:rFonts w:ascii="Trebuchet MS" w:hAnsi="Trebuchet MS"/>
          <w:i/>
          <w:noProof/>
          <w:sz w:val="22"/>
          <w:szCs w:val="22"/>
          <w:lang w:val="ro-RO"/>
        </w:rPr>
        <w:lastRenderedPageBreak/>
        <w:t>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F673C6" w:rsidRDefault="00F673C6" w:rsidP="00006923">
      <w:pPr>
        <w:pStyle w:val="ListParagraph"/>
        <w:numPr>
          <w:ilvl w:val="2"/>
          <w:numId w:val="8"/>
        </w:numPr>
        <w:tabs>
          <w:tab w:val="left" w:pos="567"/>
        </w:tabs>
        <w:spacing w:before="120" w:after="0" w:line="240" w:lineRule="auto"/>
        <w:ind w:left="426" w:hanging="568"/>
        <w:rPr>
          <w:lang w:val="ro-RO"/>
        </w:rPr>
      </w:pPr>
      <w:r w:rsidRPr="00F673C6">
        <w:rPr>
          <w:lang w:val="ro-RO"/>
        </w:rPr>
        <w:t xml:space="preserve">În acest context, în vederea îndeplinirii de către A.N.A.B.I. a atribuțiilor prevăzute la art. 29 alin. (1) din Legea nr. 318/2015, pentru evaluarea bunurilor indisponibilizate, cu privire la care </w:t>
      </w:r>
      <w:r w:rsidRPr="00F673C6">
        <w:rPr>
          <w:rFonts w:cs="Arial"/>
          <w:lang w:val="ro-RO"/>
        </w:rPr>
        <w:t xml:space="preserve">s-a dispus valorificarea, se impune achiziționarea de servicii de evaluare prestate de 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006923" w:rsidRPr="00006923" w:rsidRDefault="00006923" w:rsidP="00006923">
      <w:pPr>
        <w:pStyle w:val="ListParagraph"/>
        <w:tabs>
          <w:tab w:val="left" w:pos="567"/>
        </w:tabs>
        <w:spacing w:before="120" w:after="0" w:line="240" w:lineRule="auto"/>
        <w:ind w:left="426"/>
        <w:rPr>
          <w:rStyle w:val="l5def1"/>
          <w:rFonts w:ascii="Trebuchet MS" w:hAnsi="Trebuchet MS" w:cs="Times New Roman"/>
          <w:color w:val="auto"/>
          <w:sz w:val="22"/>
          <w:szCs w:val="22"/>
          <w:lang w:val="ro-RO"/>
        </w:rPr>
      </w:pP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F673C6" w:rsidRDefault="00F673C6" w:rsidP="00006923">
      <w:pPr>
        <w:spacing w:before="120" w:after="0" w:line="240" w:lineRule="auto"/>
        <w:ind w:left="426" w:right="49" w:hanging="568"/>
        <w:rPr>
          <w:b/>
          <w:u w:val="single"/>
          <w:lang w:val="ro-RO"/>
        </w:rPr>
      </w:pPr>
      <w:r>
        <w:rPr>
          <w:b/>
          <w:lang w:val="ro-RO"/>
        </w:rPr>
        <w:t>3.</w:t>
      </w:r>
      <w:r>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2E423E" w:rsidRPr="002E423E" w:rsidRDefault="00655D11" w:rsidP="00655D11">
      <w:pPr>
        <w:spacing w:after="0" w:line="240" w:lineRule="auto"/>
        <w:ind w:left="0"/>
        <w:jc w:val="left"/>
        <w:rPr>
          <w:lang w:val="ro-RO"/>
        </w:rPr>
      </w:pPr>
      <w:r>
        <w:rPr>
          <w:lang w:val="ro-RO"/>
        </w:rPr>
        <w:t xml:space="preserve">       </w:t>
      </w:r>
      <w:r w:rsidR="002E423E" w:rsidRPr="002E423E">
        <w:rPr>
          <w:lang w:val="ro-RO"/>
        </w:rPr>
        <w:t>Bunurile</w:t>
      </w:r>
      <w:r w:rsidR="00D65A18" w:rsidRPr="002E423E">
        <w:rPr>
          <w:lang w:val="ro-RO"/>
        </w:rPr>
        <w:t xml:space="preserve"> </w:t>
      </w:r>
      <w:r w:rsidR="00FF3E2F">
        <w:rPr>
          <w:lang w:val="ro-RO"/>
        </w:rPr>
        <w:t>supuse evaluării</w:t>
      </w:r>
      <w:r w:rsidR="002E423E" w:rsidRPr="002E423E">
        <w:rPr>
          <w:lang w:val="ro-RO"/>
        </w:rPr>
        <w:t>:</w:t>
      </w:r>
    </w:p>
    <w:p w:rsidR="002E423E" w:rsidRPr="002E423E" w:rsidRDefault="002E423E" w:rsidP="002E423E">
      <w:pPr>
        <w:spacing w:after="0" w:line="240" w:lineRule="auto"/>
        <w:ind w:left="780"/>
        <w:jc w:val="left"/>
        <w:rPr>
          <w:lang w:val="ro-RO"/>
        </w:rPr>
      </w:pPr>
    </w:p>
    <w:p w:rsidR="009D3493" w:rsidRPr="009728AB" w:rsidRDefault="009D3493" w:rsidP="009D3493">
      <w:pPr>
        <w:ind w:left="0"/>
        <w:rPr>
          <w:b/>
          <w:i/>
          <w:u w:val="single"/>
          <w:lang w:val="ro-RO"/>
        </w:rPr>
      </w:pPr>
      <w:r w:rsidRPr="009728AB">
        <w:rPr>
          <w:b/>
          <w:i/>
          <w:u w:val="single"/>
          <w:lang w:val="ro-RO"/>
        </w:rPr>
        <w:t xml:space="preserve">Stoc de marfă </w:t>
      </w:r>
      <w:r>
        <w:rPr>
          <w:b/>
          <w:i/>
          <w:u w:val="single"/>
          <w:lang w:val="ro-RO"/>
        </w:rPr>
        <w:t>– obiecte de vestimentație, 4605 de articole</w:t>
      </w:r>
      <w:r w:rsidRPr="009728AB">
        <w:rPr>
          <w:b/>
          <w:i/>
          <w:u w:val="single"/>
          <w:lang w:val="ro-RO"/>
        </w:rPr>
        <w:t xml:space="preserve">  precum:</w:t>
      </w:r>
    </w:p>
    <w:p w:rsidR="009D3493" w:rsidRPr="005914F5" w:rsidRDefault="009D3493" w:rsidP="009D3493">
      <w:pPr>
        <w:pStyle w:val="ListParagraph"/>
        <w:numPr>
          <w:ilvl w:val="0"/>
          <w:numId w:val="23"/>
        </w:numPr>
        <w:spacing w:after="0" w:line="240" w:lineRule="auto"/>
        <w:contextualSpacing w:val="0"/>
        <w:jc w:val="left"/>
        <w:rPr>
          <w:lang w:val="ro-RO"/>
        </w:rPr>
      </w:pPr>
      <w:r>
        <w:rPr>
          <w:lang w:val="ro-RO"/>
        </w:rPr>
        <w:t>bluze</w:t>
      </w:r>
      <w:r w:rsidRPr="005914F5">
        <w:rPr>
          <w:lang w:val="ro-RO"/>
        </w:rPr>
        <w:t xml:space="preserve"> ;</w:t>
      </w:r>
    </w:p>
    <w:p w:rsidR="009D3493" w:rsidRPr="005914F5" w:rsidRDefault="009D3493" w:rsidP="009D3493">
      <w:pPr>
        <w:pStyle w:val="ListParagraph"/>
        <w:numPr>
          <w:ilvl w:val="0"/>
          <w:numId w:val="23"/>
        </w:numPr>
        <w:spacing w:after="0" w:line="240" w:lineRule="auto"/>
        <w:contextualSpacing w:val="0"/>
        <w:jc w:val="left"/>
        <w:rPr>
          <w:lang w:val="ro-RO"/>
        </w:rPr>
      </w:pPr>
      <w:r>
        <w:rPr>
          <w:lang w:val="ro-RO"/>
        </w:rPr>
        <w:t>tricouri</w:t>
      </w:r>
      <w:r w:rsidRPr="005914F5">
        <w:rPr>
          <w:lang w:val="ro-RO"/>
        </w:rPr>
        <w:t>;</w:t>
      </w:r>
    </w:p>
    <w:p w:rsidR="009D3493" w:rsidRPr="005914F5" w:rsidRDefault="009D3493" w:rsidP="009D3493">
      <w:pPr>
        <w:pStyle w:val="ListParagraph"/>
        <w:numPr>
          <w:ilvl w:val="0"/>
          <w:numId w:val="23"/>
        </w:numPr>
        <w:spacing w:after="0" w:line="240" w:lineRule="auto"/>
        <w:contextualSpacing w:val="0"/>
        <w:jc w:val="left"/>
        <w:rPr>
          <w:lang w:val="ro-RO"/>
        </w:rPr>
      </w:pPr>
      <w:r>
        <w:rPr>
          <w:lang w:val="ro-RO"/>
        </w:rPr>
        <w:t>rochii</w:t>
      </w:r>
      <w:r w:rsidRPr="005914F5">
        <w:rPr>
          <w:lang w:val="ro-RO"/>
        </w:rPr>
        <w:t>;</w:t>
      </w:r>
    </w:p>
    <w:p w:rsidR="009D3493" w:rsidRPr="005914F5" w:rsidRDefault="009D3493" w:rsidP="009D3493">
      <w:pPr>
        <w:pStyle w:val="ListParagraph"/>
        <w:numPr>
          <w:ilvl w:val="0"/>
          <w:numId w:val="23"/>
        </w:numPr>
        <w:spacing w:after="0" w:line="240" w:lineRule="auto"/>
        <w:contextualSpacing w:val="0"/>
        <w:jc w:val="left"/>
        <w:rPr>
          <w:lang w:val="ro-RO"/>
        </w:rPr>
      </w:pPr>
      <w:r>
        <w:rPr>
          <w:lang w:val="ro-RO"/>
        </w:rPr>
        <w:t>blugi</w:t>
      </w:r>
      <w:r w:rsidRPr="005914F5">
        <w:rPr>
          <w:lang w:val="ro-RO"/>
        </w:rPr>
        <w:t>;</w:t>
      </w:r>
    </w:p>
    <w:p w:rsidR="009D3493" w:rsidRPr="005914F5" w:rsidRDefault="009D3493" w:rsidP="009D3493">
      <w:pPr>
        <w:pStyle w:val="ListParagraph"/>
        <w:numPr>
          <w:ilvl w:val="0"/>
          <w:numId w:val="23"/>
        </w:numPr>
        <w:spacing w:after="0" w:line="240" w:lineRule="auto"/>
        <w:contextualSpacing w:val="0"/>
        <w:jc w:val="left"/>
        <w:rPr>
          <w:lang w:val="ro-RO"/>
        </w:rPr>
      </w:pPr>
      <w:r>
        <w:rPr>
          <w:lang w:val="ro-RO"/>
        </w:rPr>
        <w:t>fuste</w:t>
      </w:r>
      <w:r w:rsidRPr="005914F5">
        <w:rPr>
          <w:lang w:val="ro-RO"/>
        </w:rPr>
        <w:t>;</w:t>
      </w:r>
    </w:p>
    <w:p w:rsidR="009D3493" w:rsidRPr="005914F5" w:rsidRDefault="009D3493" w:rsidP="009D3493">
      <w:pPr>
        <w:pStyle w:val="ListParagraph"/>
        <w:numPr>
          <w:ilvl w:val="0"/>
          <w:numId w:val="23"/>
        </w:numPr>
        <w:spacing w:after="0" w:line="240" w:lineRule="auto"/>
        <w:contextualSpacing w:val="0"/>
        <w:jc w:val="left"/>
        <w:rPr>
          <w:lang w:val="ro-RO"/>
        </w:rPr>
      </w:pPr>
      <w:r>
        <w:rPr>
          <w:lang w:val="ro-RO"/>
        </w:rPr>
        <w:t>maieuri;</w:t>
      </w:r>
      <w:r w:rsidRPr="005914F5">
        <w:rPr>
          <w:lang w:val="ro-RO"/>
        </w:rPr>
        <w:t xml:space="preserve"> </w:t>
      </w:r>
    </w:p>
    <w:p w:rsidR="009D3493" w:rsidRDefault="009D3493" w:rsidP="009D3493">
      <w:pPr>
        <w:pStyle w:val="ListParagraph"/>
        <w:numPr>
          <w:ilvl w:val="0"/>
          <w:numId w:val="23"/>
        </w:numPr>
        <w:spacing w:after="0" w:line="240" w:lineRule="auto"/>
        <w:contextualSpacing w:val="0"/>
        <w:jc w:val="left"/>
        <w:rPr>
          <w:lang w:val="ro-RO"/>
        </w:rPr>
      </w:pPr>
      <w:r>
        <w:rPr>
          <w:lang w:val="ro-RO"/>
        </w:rPr>
        <w:t>colanți, pantaloni</w:t>
      </w:r>
      <w:r w:rsidRPr="005914F5">
        <w:rPr>
          <w:lang w:val="ro-RO"/>
        </w:rPr>
        <w:t>;</w:t>
      </w:r>
      <w:r w:rsidRPr="00056272">
        <w:rPr>
          <w:lang w:val="ro-RO"/>
        </w:rPr>
        <w:t xml:space="preserve"> </w:t>
      </w:r>
    </w:p>
    <w:p w:rsidR="009D3493" w:rsidRPr="00056272" w:rsidRDefault="009D3493" w:rsidP="009D3493">
      <w:pPr>
        <w:pStyle w:val="ListParagraph"/>
        <w:numPr>
          <w:ilvl w:val="0"/>
          <w:numId w:val="23"/>
        </w:numPr>
        <w:spacing w:after="0" w:line="240" w:lineRule="auto"/>
        <w:contextualSpacing w:val="0"/>
        <w:jc w:val="left"/>
        <w:rPr>
          <w:lang w:val="ro-RO"/>
        </w:rPr>
      </w:pPr>
      <w:r>
        <w:rPr>
          <w:lang w:val="ro-RO"/>
        </w:rPr>
        <w:t>fete de masă;</w:t>
      </w:r>
      <w:r w:rsidRPr="00056272">
        <w:rPr>
          <w:lang w:val="ro-RO"/>
        </w:rPr>
        <w:t xml:space="preserve"> </w:t>
      </w:r>
    </w:p>
    <w:p w:rsidR="009D3493" w:rsidRDefault="009D3493" w:rsidP="009D3493">
      <w:pPr>
        <w:pStyle w:val="ListParagraph"/>
        <w:numPr>
          <w:ilvl w:val="0"/>
          <w:numId w:val="23"/>
        </w:numPr>
        <w:spacing w:after="0" w:line="240" w:lineRule="auto"/>
        <w:contextualSpacing w:val="0"/>
        <w:jc w:val="left"/>
        <w:rPr>
          <w:lang w:val="ro-RO"/>
        </w:rPr>
      </w:pPr>
      <w:r>
        <w:rPr>
          <w:lang w:val="ro-RO"/>
        </w:rPr>
        <w:t>lenjerie de pat, prosoape, prosoape bucatarie.</w:t>
      </w:r>
    </w:p>
    <w:p w:rsidR="00655D11" w:rsidRPr="00645FC6" w:rsidRDefault="00655D11" w:rsidP="00655D11">
      <w:pPr>
        <w:spacing w:after="0" w:line="240" w:lineRule="auto"/>
        <w:ind w:left="780"/>
        <w:jc w:val="left"/>
        <w:rPr>
          <w:rFonts w:eastAsia="Calibri"/>
          <w:lang w:val="ro-RO"/>
        </w:rPr>
      </w:pPr>
    </w:p>
    <w:p w:rsidR="00486CE8" w:rsidRDefault="00EF7320" w:rsidP="00BD3665">
      <w:pPr>
        <w:spacing w:after="0" w:line="240" w:lineRule="auto"/>
        <w:ind w:left="0"/>
        <w:rPr>
          <w:lang w:val="ro-RO"/>
        </w:rPr>
      </w:pPr>
      <w:r>
        <w:rPr>
          <w:rFonts w:cs="Arial"/>
          <w:noProof/>
          <w:lang w:val="ro-RO"/>
        </w:rPr>
        <w:t>B</w:t>
      </w:r>
      <w:r w:rsidR="00655D11">
        <w:rPr>
          <w:rFonts w:cs="Arial"/>
          <w:noProof/>
          <w:lang w:val="ro-RO"/>
        </w:rPr>
        <w:t>unurile</w:t>
      </w:r>
      <w:r w:rsidR="00E83974">
        <w:rPr>
          <w:rFonts w:cs="Arial"/>
          <w:noProof/>
          <w:lang w:val="ro-RO"/>
        </w:rPr>
        <w:t xml:space="preserve"> indisponibilizat</w:t>
      </w:r>
      <w:r w:rsidR="00655D11">
        <w:rPr>
          <w:rFonts w:cs="Arial"/>
          <w:noProof/>
          <w:lang w:val="ro-RO"/>
        </w:rPr>
        <w:t>e</w:t>
      </w:r>
      <w:r w:rsidR="009C7C82">
        <w:rPr>
          <w:rFonts w:cs="Arial"/>
          <w:noProof/>
          <w:lang w:val="ro-RO"/>
        </w:rPr>
        <w:t xml:space="preserve"> se află</w:t>
      </w:r>
      <w:r w:rsidR="00FF3E2F">
        <w:rPr>
          <w:lang w:val="ro-RO"/>
        </w:rPr>
        <w:t xml:space="preserve"> depozitate în </w:t>
      </w:r>
      <w:r w:rsidR="009D3493">
        <w:rPr>
          <w:lang w:val="ro-RO"/>
        </w:rPr>
        <w:t xml:space="preserve"> com</w:t>
      </w:r>
      <w:r w:rsidR="00700103">
        <w:rPr>
          <w:lang w:val="ro-RO"/>
        </w:rPr>
        <w:t>una</w:t>
      </w:r>
      <w:r w:rsidR="009D3493">
        <w:rPr>
          <w:lang w:val="ro-RO"/>
        </w:rPr>
        <w:t xml:space="preserve"> Afumați, județ Ilfov.</w:t>
      </w:r>
    </w:p>
    <w:p w:rsidR="00BD3665" w:rsidRPr="00BD3665" w:rsidRDefault="00BD3665" w:rsidP="00BD3665">
      <w:pPr>
        <w:spacing w:after="0" w:line="240" w:lineRule="auto"/>
        <w:ind w:left="0"/>
        <w:rPr>
          <w:lang w:val="ro-RO"/>
        </w:rPr>
      </w:pP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175D05" w:rsidP="00006923">
      <w:pPr>
        <w:pStyle w:val="ListParagraph"/>
        <w:numPr>
          <w:ilvl w:val="1"/>
          <w:numId w:val="2"/>
        </w:numPr>
        <w:spacing w:before="120" w:line="240" w:lineRule="auto"/>
        <w:ind w:right="49"/>
        <w:rPr>
          <w:b/>
          <w:u w:val="single"/>
          <w:lang w:val="ro-RO"/>
        </w:rPr>
      </w:pPr>
      <w:r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w:t>
      </w:r>
      <w:r w:rsidRPr="00D65A18">
        <w:rPr>
          <w:lang w:val="ro-RO"/>
        </w:rPr>
        <w:lastRenderedPageBreak/>
        <w:t>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 xml:space="preserve">4.2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Pr="00D65A18">
        <w:rPr>
          <w:lang w:val="ro-RO"/>
        </w:rPr>
        <w:t xml:space="preserve">ietarul bunului supus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773E15">
        <w:rPr>
          <w:lang w:val="ro-RO"/>
        </w:rPr>
        <w:t>proprietarului bunului</w:t>
      </w:r>
      <w:r w:rsidR="00D60499" w:rsidRPr="00524C7E">
        <w:rPr>
          <w:lang w:val="ro-RO"/>
        </w:rPr>
        <w:t>,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Pr>
          <w:lang w:val="ro-RO"/>
        </w:rPr>
        <w:t xml:space="preserve">3 </w:t>
      </w:r>
      <w:r w:rsidR="00175D05" w:rsidRPr="001457C7">
        <w:rPr>
          <w:lang w:val="ro-RO"/>
        </w:rPr>
        <w:t>Raportul de evaluare va respecta standardele</w:t>
      </w:r>
      <w:r w:rsidR="0020320C" w:rsidRPr="001457C7">
        <w:rPr>
          <w:lang w:val="ro-RO"/>
        </w:rPr>
        <w:t xml:space="preserve"> obligatorii pentru desfășurarea activității de evaluare </w:t>
      </w:r>
      <w:r w:rsidR="00E803C9">
        <w:rPr>
          <w:lang w:val="ro-RO"/>
        </w:rPr>
        <w:t>a bunului</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B5C02">
        <w:rPr>
          <w:lang w:val="ro-RO"/>
        </w:rPr>
        <w:t xml:space="preserve"> – ediția 2019</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trebuie să se facă o descrie</w:t>
      </w:r>
      <w:r w:rsidR="00503810">
        <w:rPr>
          <w:lang w:val="ro-RO"/>
        </w:rPr>
        <w:t>re clară si completă a bunului evaluat</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503810">
        <w:rPr>
          <w:lang w:val="ro-RO"/>
        </w:rPr>
        <w:t>ice si funcționale ale bunului</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503810">
        <w:rPr>
          <w:lang w:val="ro-RO"/>
        </w:rPr>
        <w:t>bunului evaluat</w:t>
      </w:r>
      <w:r w:rsidR="00503810"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aluării, complexitatea bunului supus</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 xml:space="preserve"> include situațiile în care sunt formulate ipoteze privind un eveniment viitor;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determinarea valorii de piață pentru bun</w:t>
      </w:r>
      <w:r w:rsidR="00503810">
        <w:rPr>
          <w:lang w:val="ro-RO"/>
        </w:rPr>
        <w:t>ul</w:t>
      </w:r>
      <w:r w:rsidRPr="00C04946">
        <w:rPr>
          <w:lang w:val="ro-RO"/>
        </w:rPr>
        <w:t xml:space="preserve"> mobil;</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caracterul sezonier</w:t>
      </w:r>
      <w:r w:rsidR="00E83974">
        <w:rPr>
          <w:lang w:val="ro-RO"/>
        </w:rPr>
        <w:t>(după caz)</w:t>
      </w:r>
      <w:r w:rsidRPr="001457C7">
        <w:rPr>
          <w:lang w:val="ro-RO"/>
        </w:rPr>
        <w:t xml:space="preserve">. </w:t>
      </w:r>
    </w:p>
    <w:p w:rsidR="00AB1303" w:rsidRPr="00F816AF" w:rsidRDefault="00C04946" w:rsidP="00006923">
      <w:pPr>
        <w:pStyle w:val="ListParagraph"/>
        <w:numPr>
          <w:ilvl w:val="0"/>
          <w:numId w:val="4"/>
        </w:numPr>
        <w:tabs>
          <w:tab w:val="left" w:pos="567"/>
        </w:tabs>
        <w:spacing w:before="120" w:line="240" w:lineRule="auto"/>
        <w:ind w:right="49"/>
        <w:rPr>
          <w:lang w:val="ro-RO"/>
        </w:rPr>
      </w:pPr>
      <w:r w:rsidRPr="00F816AF">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00D56627">
        <w:rPr>
          <w:lang w:val="ro-RO"/>
        </w:rPr>
        <w:t xml:space="preserve"> </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9D671C" w:rsidRDefault="00AD5BC9" w:rsidP="009D671C">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00C32881">
        <w:rPr>
          <w:lang w:val="ro-RO"/>
        </w:rPr>
        <w:t>în original, în 2(două) exemplare color.</w:t>
      </w:r>
      <w:r w:rsidR="007F5E55" w:rsidRPr="00C04946">
        <w:rPr>
          <w:rFonts w:eastAsia="Calibri" w:cs="Arial"/>
          <w:bCs/>
          <w:lang w:val="ro-RO"/>
        </w:rPr>
        <w:t xml:space="preserve"> </w:t>
      </w:r>
    </w:p>
    <w:p w:rsidR="00486CE8" w:rsidRDefault="00486CE8" w:rsidP="00486CE8">
      <w:pPr>
        <w:pStyle w:val="ListParagraph"/>
        <w:tabs>
          <w:tab w:val="left" w:pos="426"/>
        </w:tabs>
        <w:rPr>
          <w:rFonts w:eastAsia="Calibri" w:cs="Arial"/>
          <w:bCs/>
          <w:lang w:val="ro-RO"/>
        </w:rPr>
      </w:pP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486CE8" w:rsidRDefault="009D671C" w:rsidP="009D671C">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655D11" w:rsidRDefault="00655D11" w:rsidP="00DB5C02">
      <w:pPr>
        <w:tabs>
          <w:tab w:val="left" w:pos="426"/>
        </w:tabs>
        <w:spacing w:after="0" w:line="240" w:lineRule="auto"/>
        <w:ind w:left="0"/>
        <w:rPr>
          <w:rFonts w:eastAsia="Calibri" w:cs="Arial"/>
          <w:bCs/>
          <w:lang w:val="ro-RO"/>
        </w:rPr>
      </w:pPr>
    </w:p>
    <w:p w:rsidR="00655D11" w:rsidRPr="009D671C" w:rsidRDefault="00655D11" w:rsidP="009D671C">
      <w:pPr>
        <w:tabs>
          <w:tab w:val="left" w:pos="426"/>
        </w:tabs>
        <w:spacing w:after="0" w:line="240" w:lineRule="auto"/>
        <w:ind w:left="426" w:hanging="426"/>
        <w:rPr>
          <w:rFonts w:eastAsia="Calibri" w:cs="Arial"/>
          <w:bCs/>
          <w:lang w:val="ro-RO"/>
        </w:rPr>
      </w:pP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006923" w:rsidP="0005042E">
      <w:pPr>
        <w:pStyle w:val="ListParagraph"/>
        <w:numPr>
          <w:ilvl w:val="1"/>
          <w:numId w:val="15"/>
        </w:numPr>
        <w:rPr>
          <w:lang w:val="ro-RO"/>
        </w:rPr>
      </w:pPr>
      <w:r w:rsidRPr="0005042E">
        <w:rPr>
          <w:lang w:val="ro-RO"/>
        </w:rPr>
        <w:t xml:space="preserve">Prețul convenit include și costul deplasării evaluatorului </w:t>
      </w:r>
      <w:r w:rsidR="00486CE8">
        <w:rPr>
          <w:lang w:val="ro-RO"/>
        </w:rPr>
        <w:t>în vederea inspectării bunului</w:t>
      </w:r>
      <w:r w:rsidRPr="0005042E">
        <w:rPr>
          <w:lang w:val="ro-RO"/>
        </w:rPr>
        <w:t xml:space="preserve"> la locul de depozitare.</w:t>
      </w:r>
    </w:p>
    <w:p w:rsidR="00006923" w:rsidRPr="00D53618" w:rsidRDefault="00006923" w:rsidP="0005042E">
      <w:pPr>
        <w:pStyle w:val="ListParagraph"/>
        <w:numPr>
          <w:ilvl w:val="1"/>
          <w:numId w:val="15"/>
        </w:numPr>
        <w:rPr>
          <w:lang w:val="ro-RO"/>
        </w:rPr>
      </w:pPr>
      <w:r w:rsidRPr="00D53618">
        <w:rPr>
          <w:lang w:val="ro-RO"/>
        </w:rPr>
        <w:t>Preţul contractului este ferm şi neajustabil, exprimat în lei, pe întreaga per</w:t>
      </w:r>
      <w:r w:rsidR="0005042E">
        <w:rPr>
          <w:lang w:val="ro-RO"/>
        </w:rPr>
        <w:t xml:space="preserve">ioadă de derulare a </w:t>
      </w:r>
      <w:r w:rsidRPr="00D53618">
        <w:rPr>
          <w:lang w:val="ro-RO"/>
        </w:rPr>
        <w:t>contract</w:t>
      </w:r>
      <w:r w:rsidR="0005042E">
        <w:rPr>
          <w:lang w:val="ro-RO"/>
        </w:rPr>
        <w:t>ului</w:t>
      </w:r>
      <w:r w:rsidRPr="00D53618">
        <w:rPr>
          <w:lang w:val="ro-RO"/>
        </w:rPr>
        <w:t xml:space="preserve">. </w:t>
      </w:r>
    </w:p>
    <w:p w:rsidR="00AE22D4" w:rsidRPr="00486CE8" w:rsidRDefault="00B32982" w:rsidP="00486CE8">
      <w:pPr>
        <w:pStyle w:val="ListParagraph"/>
        <w:numPr>
          <w:ilvl w:val="1"/>
          <w:numId w:val="17"/>
        </w:numPr>
        <w:rPr>
          <w:lang w:val="ro-RO"/>
        </w:rPr>
      </w:pPr>
      <w:r>
        <w:rPr>
          <w:lang w:val="ro-RO"/>
        </w:rPr>
        <w:lastRenderedPageBreak/>
        <w:t xml:space="preserve">Beneficiarul are obligaţia de a efectua plata serviciilor, după semnarea procesului verbal de recepţie cu mențiunea </w:t>
      </w:r>
      <w:r>
        <w:rPr>
          <w:b/>
          <w:lang w:val="ro-RO"/>
        </w:rPr>
        <w:t>„fără obiecțiuni”,</w:t>
      </w:r>
      <w:r>
        <w:rPr>
          <w:lang w:val="ro-RO"/>
        </w:rPr>
        <w:t xml:space="preserve"> în termen de 30 zile de la data primirii facturii, emisă de către Prestator (cu respectarea termenului maxim prevăzut de Legea nr. 72/2013)</w:t>
      </w:r>
      <w:r w:rsidR="00006923" w:rsidRPr="00B32982">
        <w:rPr>
          <w:b/>
          <w:lang w:val="ro-RO"/>
        </w:rPr>
        <w:t>.</w:t>
      </w:r>
    </w:p>
    <w:p w:rsidR="00394923" w:rsidRDefault="00394923"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p>
    <w:p w:rsidR="002663C7" w:rsidRPr="00394923" w:rsidRDefault="00D65A18"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394923">
        <w:rPr>
          <w:rFonts w:ascii="Trebuchet MS" w:hAnsi="Trebuchet MS" w:cs="Trebuchet MS"/>
          <w:b/>
          <w:bCs/>
          <w:color w:val="auto"/>
          <w:sz w:val="22"/>
          <w:u w:val="single"/>
          <w:lang w:val="ro-RO"/>
        </w:rPr>
        <w:t xml:space="preserve">7.  </w:t>
      </w:r>
      <w:r w:rsidR="00F35388" w:rsidRPr="00394923">
        <w:rPr>
          <w:rFonts w:ascii="Trebuchet MS" w:hAnsi="Trebuchet MS" w:cs="Trebuchet MS"/>
          <w:b/>
          <w:bCs/>
          <w:color w:val="auto"/>
          <w:sz w:val="22"/>
          <w:u w:val="single"/>
          <w:lang w:val="ro-RO"/>
        </w:rPr>
        <w:t>Dispoziții finale</w:t>
      </w:r>
    </w:p>
    <w:p w:rsidR="006621F2" w:rsidRPr="00D65A18" w:rsidRDefault="00F35388" w:rsidP="00D65A18">
      <w:pPr>
        <w:pStyle w:val="ListParagraph"/>
        <w:numPr>
          <w:ilvl w:val="1"/>
          <w:numId w:val="14"/>
        </w:numPr>
        <w:spacing w:before="120" w:after="0"/>
        <w:ind w:right="51"/>
        <w:rPr>
          <w:lang w:val="ro-RO"/>
        </w:rPr>
      </w:pPr>
      <w:r w:rsidRPr="00D65A18">
        <w:rPr>
          <w:lang w:val="ro-RO"/>
        </w:rPr>
        <w:t>A</w:t>
      </w:r>
      <w:r w:rsidR="00C50681" w:rsidRPr="00D65A18">
        <w:rPr>
          <w:lang w:val="ro-RO"/>
        </w:rPr>
        <w:t>.</w:t>
      </w:r>
      <w:r w:rsidRPr="00D65A18">
        <w:rPr>
          <w:lang w:val="ro-RO"/>
        </w:rPr>
        <w:t>N</w:t>
      </w:r>
      <w:r w:rsidR="00C50681" w:rsidRPr="00D65A18">
        <w:rPr>
          <w:lang w:val="ro-RO"/>
        </w:rPr>
        <w:t>.</w:t>
      </w:r>
      <w:r w:rsidRPr="00D65A18">
        <w:rPr>
          <w:lang w:val="ro-RO"/>
        </w:rPr>
        <w:t>A</w:t>
      </w:r>
      <w:r w:rsidR="00C50681" w:rsidRPr="00D65A18">
        <w:rPr>
          <w:lang w:val="ro-RO"/>
        </w:rPr>
        <w:t>.</w:t>
      </w:r>
      <w:r w:rsidRPr="00D65A18">
        <w:rPr>
          <w:lang w:val="ro-RO"/>
        </w:rPr>
        <w:t>B</w:t>
      </w:r>
      <w:r w:rsidR="00C50681" w:rsidRPr="00D65A18">
        <w:rPr>
          <w:lang w:val="ro-RO"/>
        </w:rPr>
        <w:t>.</w:t>
      </w:r>
      <w:r w:rsidRPr="00D65A18">
        <w:rPr>
          <w:lang w:val="ro-RO"/>
        </w:rPr>
        <w:t>I</w:t>
      </w:r>
      <w:r w:rsidR="00C50681" w:rsidRPr="00D65A18">
        <w:rPr>
          <w:lang w:val="ro-RO"/>
        </w:rPr>
        <w:t>.</w:t>
      </w:r>
      <w:r w:rsidR="007B1D57" w:rsidRPr="00D65A18">
        <w:rPr>
          <w:lang w:val="ro-RO"/>
        </w:rPr>
        <w:t xml:space="preserve"> poate depune </w:t>
      </w:r>
      <w:r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1713D7" w:rsidRDefault="007C26A3" w:rsidP="00D65A18">
      <w:pPr>
        <w:pStyle w:val="ListParagraph"/>
        <w:numPr>
          <w:ilvl w:val="1"/>
          <w:numId w:val="14"/>
        </w:numPr>
        <w:spacing w:before="120" w:after="0"/>
        <w:ind w:right="51"/>
        <w:rPr>
          <w:lang w:val="ro-RO"/>
        </w:rPr>
      </w:pPr>
      <w:r w:rsidRPr="006621F2">
        <w:rPr>
          <w:lang w:val="ro-RO"/>
        </w:rPr>
        <w:t>Î</w:t>
      </w:r>
      <w:r w:rsidR="007B1D57" w:rsidRPr="006621F2">
        <w:rPr>
          <w:lang w:val="ro-RO"/>
        </w:rPr>
        <w:t xml:space="preserve">n cazul </w:t>
      </w:r>
      <w:r w:rsidRPr="006621F2">
        <w:rPr>
          <w:lang w:val="ro-RO"/>
        </w:rPr>
        <w:t>î</w:t>
      </w:r>
      <w:r w:rsidR="007B1D57" w:rsidRPr="006621F2">
        <w:rPr>
          <w:lang w:val="ro-RO"/>
        </w:rPr>
        <w:t>n care beneficiarul formuleaz</w:t>
      </w:r>
      <w:r w:rsidRPr="006621F2">
        <w:rPr>
          <w:lang w:val="ro-RO"/>
        </w:rPr>
        <w:t>ă</w:t>
      </w:r>
      <w:r w:rsidR="007B1D57" w:rsidRPr="006621F2">
        <w:rPr>
          <w:lang w:val="ro-RO"/>
        </w:rPr>
        <w:t xml:space="preserve"> observa</w:t>
      </w:r>
      <w:r w:rsidRPr="006621F2">
        <w:rPr>
          <w:lang w:val="ro-RO"/>
        </w:rPr>
        <w:t>ț</w:t>
      </w:r>
      <w:r w:rsidR="007B1D57" w:rsidRPr="006621F2">
        <w:rPr>
          <w:lang w:val="ro-RO"/>
        </w:rPr>
        <w:t>ii cu privire la raportul ini</w:t>
      </w:r>
      <w:r w:rsidRPr="006621F2">
        <w:rPr>
          <w:lang w:val="ro-RO"/>
        </w:rPr>
        <w:t>ț</w:t>
      </w:r>
      <w:r w:rsidR="007B1D57" w:rsidRPr="006621F2">
        <w:rPr>
          <w:lang w:val="ro-RO"/>
        </w:rPr>
        <w:t>ial, prestatorul are obliga</w:t>
      </w:r>
      <w:r w:rsidRPr="006621F2">
        <w:rPr>
          <w:lang w:val="ro-RO"/>
        </w:rPr>
        <w:t>ț</w:t>
      </w:r>
      <w:r w:rsidR="007B1D57" w:rsidRPr="006621F2">
        <w:rPr>
          <w:lang w:val="ro-RO"/>
        </w:rPr>
        <w:t>ia de a remedia elementele care fac obiectul observa</w:t>
      </w:r>
      <w:r w:rsidRPr="006621F2">
        <w:rPr>
          <w:lang w:val="ro-RO"/>
        </w:rPr>
        <w:t>ț</w:t>
      </w:r>
      <w:r w:rsidR="007B1D57" w:rsidRPr="006621F2">
        <w:rPr>
          <w:lang w:val="ro-RO"/>
        </w:rPr>
        <w:t xml:space="preserve">iilor beneficiarului </w:t>
      </w:r>
      <w:r w:rsidRPr="006621F2">
        <w:rPr>
          <w:lang w:val="ro-RO"/>
        </w:rPr>
        <w:t>î</w:t>
      </w:r>
      <w:r w:rsidR="007B1D57" w:rsidRPr="006621F2">
        <w:rPr>
          <w:lang w:val="ro-RO"/>
        </w:rPr>
        <w:t>n termen de 3 zile lucr</w:t>
      </w:r>
      <w:r w:rsidRPr="006621F2">
        <w:rPr>
          <w:lang w:val="ro-RO"/>
        </w:rPr>
        <w:t>ă</w:t>
      </w:r>
      <w:r w:rsidR="007B1D57" w:rsidRPr="006621F2">
        <w:rPr>
          <w:lang w:val="ro-RO"/>
        </w:rPr>
        <w:t>toare.</w:t>
      </w:r>
    </w:p>
    <w:p w:rsidR="00006923" w:rsidRDefault="00006923" w:rsidP="00006923">
      <w:pPr>
        <w:pStyle w:val="ListParagraph"/>
        <w:spacing w:before="120" w:after="0"/>
        <w:ind w:left="218" w:right="51"/>
        <w:rPr>
          <w:lang w:val="ro-RO"/>
        </w:rPr>
      </w:pPr>
    </w:p>
    <w:p w:rsidR="00394923" w:rsidRDefault="00394923" w:rsidP="00006923">
      <w:pPr>
        <w:pStyle w:val="ListParagraph"/>
        <w:spacing w:before="120" w:after="0"/>
        <w:ind w:left="218" w:right="51"/>
        <w:rPr>
          <w:lang w:val="ro-RO"/>
        </w:rPr>
      </w:pPr>
    </w:p>
    <w:tbl>
      <w:tblPr>
        <w:tblpPr w:leftFromText="180" w:rightFromText="180" w:vertAnchor="text" w:horzAnchor="margin" w:tblpY="157"/>
        <w:tblW w:w="9788" w:type="dxa"/>
        <w:tblLook w:val="01E0" w:firstRow="1" w:lastRow="1" w:firstColumn="1" w:lastColumn="1" w:noHBand="0" w:noVBand="0"/>
      </w:tblPr>
      <w:tblGrid>
        <w:gridCol w:w="9788"/>
      </w:tblGrid>
      <w:tr w:rsidR="009F30AC" w:rsidRPr="009F30AC" w:rsidTr="009F30AC">
        <w:trPr>
          <w:trHeight w:val="277"/>
        </w:trPr>
        <w:tc>
          <w:tcPr>
            <w:tcW w:w="9788" w:type="dxa"/>
          </w:tcPr>
          <w:p w:rsidR="009F30AC" w:rsidRPr="009F30AC" w:rsidRDefault="009F30AC" w:rsidP="009F30AC">
            <w:pPr>
              <w:ind w:left="0"/>
              <w:rPr>
                <w:lang w:val="ro-RO"/>
              </w:rPr>
            </w:pPr>
          </w:p>
        </w:tc>
      </w:tr>
    </w:tbl>
    <w:p w:rsidR="009F30AC" w:rsidRPr="009F30AC" w:rsidRDefault="009F30AC" w:rsidP="009F30AC">
      <w:pPr>
        <w:ind w:left="0"/>
        <w:rPr>
          <w:lang w:val="ro-RO"/>
        </w:rPr>
      </w:pPr>
    </w:p>
    <w:p w:rsidR="009F30AC" w:rsidRPr="009F30AC" w:rsidRDefault="009F30AC" w:rsidP="009F30AC">
      <w:pPr>
        <w:ind w:left="0"/>
        <w:rPr>
          <w:lang w:val="ro-RO"/>
        </w:rPr>
      </w:pPr>
    </w:p>
    <w:p w:rsidR="00006923" w:rsidRPr="006621F2" w:rsidRDefault="00006923" w:rsidP="00006923">
      <w:pPr>
        <w:pStyle w:val="ListParagraph"/>
        <w:spacing w:before="120" w:after="0"/>
        <w:ind w:left="218" w:right="51"/>
        <w:rPr>
          <w:lang w:val="ro-RO"/>
        </w:rPr>
      </w:pPr>
    </w:p>
    <w:sectPr w:rsidR="00006923" w:rsidRPr="006621F2" w:rsidSect="00DC15B8">
      <w:headerReference w:type="default" r:id="rId8"/>
      <w:footerReference w:type="default" r:id="rId9"/>
      <w:headerReference w:type="first" r:id="rId10"/>
      <w:footerReference w:type="first" r:id="rId11"/>
      <w:pgSz w:w="11900" w:h="16840" w:code="9"/>
      <w:pgMar w:top="1418" w:right="851" w:bottom="1474" w:left="1361"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4C" w:rsidRDefault="00F41D4C" w:rsidP="00CD5B3B">
      <w:r>
        <w:separator/>
      </w:r>
    </w:p>
  </w:endnote>
  <w:endnote w:type="continuationSeparator" w:id="0">
    <w:p w:rsidR="00F41D4C" w:rsidRDefault="00F41D4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D3B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 xml:space="preserve">Str. Regina </w:t>
          </w:r>
          <w:proofErr w:type="spellStart"/>
          <w:r>
            <w:rPr>
              <w:sz w:val="16"/>
              <w:szCs w:val="16"/>
            </w:rPr>
            <w:t>Elisabeta</w:t>
          </w:r>
          <w:proofErr w:type="spellEnd"/>
          <w:r>
            <w:rPr>
              <w:sz w:val="16"/>
              <w:szCs w:val="16"/>
            </w:rPr>
            <w:t xml:space="preserve"> nr.3</w:t>
          </w:r>
          <w:r w:rsidR="006B2B08">
            <w:rPr>
              <w:sz w:val="16"/>
              <w:szCs w:val="16"/>
            </w:rPr>
            <w:t xml:space="preserve">, sector 3 </w:t>
          </w:r>
          <w:r w:rsidR="009A0997" w:rsidRPr="001962F1">
            <w:rPr>
              <w:sz w:val="16"/>
              <w:szCs w:val="16"/>
            </w:rPr>
            <w:t xml:space="preserve">050741 </w:t>
          </w:r>
          <w:proofErr w:type="spellStart"/>
          <w:r w:rsidR="009A0997" w:rsidRPr="001962F1">
            <w:rPr>
              <w:sz w:val="16"/>
              <w:szCs w:val="16"/>
            </w:rPr>
            <w:t>Bucureşti</w:t>
          </w:r>
          <w:proofErr w:type="spellEnd"/>
          <w:r w:rsidR="009A0997" w:rsidRPr="001962F1">
            <w:rPr>
              <w:sz w:val="16"/>
              <w:szCs w:val="16"/>
            </w:rPr>
            <w:t xml:space="preserve">, </w:t>
          </w:r>
          <w:proofErr w:type="spellStart"/>
          <w:r w:rsidR="009A0997" w:rsidRPr="001962F1">
            <w:rPr>
              <w:sz w:val="16"/>
              <w:szCs w:val="16"/>
            </w:rPr>
            <w:t>România</w:t>
          </w:r>
          <w:proofErr w:type="spellEnd"/>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D32482">
            <w:rPr>
              <w:noProof/>
              <w:sz w:val="16"/>
              <w:szCs w:val="16"/>
              <w:lang w:val="ro-RO"/>
            </w:rPr>
            <w:t>2</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D32482">
            <w:rPr>
              <w:noProof/>
              <w:sz w:val="16"/>
              <w:szCs w:val="16"/>
              <w:lang w:val="ro-RO"/>
            </w:rPr>
            <w:t>5</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050741 Bucureşti,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proofErr w:type="spellStart"/>
          <w:r w:rsidRPr="00B66E1D">
            <w:rPr>
              <w:sz w:val="14"/>
              <w:szCs w:val="14"/>
              <w:lang w:val="es-ES"/>
            </w:rPr>
            <w:t>Pagina</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D32482">
            <w:rPr>
              <w:noProof/>
              <w:sz w:val="14"/>
              <w:szCs w:val="14"/>
              <w:lang w:val="es-ES"/>
            </w:rPr>
            <w:t>1</w:t>
          </w:r>
          <w:r w:rsidRPr="00036CF6">
            <w:rPr>
              <w:sz w:val="14"/>
              <w:szCs w:val="14"/>
            </w:rPr>
            <w:fldChar w:fldCharType="end"/>
          </w:r>
          <w:r w:rsidRPr="00B66E1D">
            <w:rPr>
              <w:sz w:val="14"/>
              <w:szCs w:val="14"/>
              <w:lang w:val="es-ES"/>
            </w:rPr>
            <w:t xml:space="preserve"> </w:t>
          </w:r>
          <w:proofErr w:type="spellStart"/>
          <w:r w:rsidRPr="00B66E1D">
            <w:rPr>
              <w:sz w:val="14"/>
              <w:szCs w:val="14"/>
              <w:lang w:val="es-ES"/>
            </w:rPr>
            <w:t>din</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D32482">
            <w:rPr>
              <w:noProof/>
              <w:sz w:val="14"/>
              <w:szCs w:val="14"/>
              <w:lang w:val="es-ES"/>
            </w:rPr>
            <w:t>5</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61312" behindDoc="0" locked="0" layoutInCell="1" allowOverlap="1" wp14:anchorId="7834E190" wp14:editId="1FBE4BD3">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128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4C" w:rsidRDefault="00F41D4C" w:rsidP="00871565">
      <w:pPr>
        <w:spacing w:after="0"/>
        <w:ind w:left="0"/>
      </w:pPr>
      <w:r>
        <w:separator/>
      </w:r>
    </w:p>
  </w:footnote>
  <w:footnote w:type="continuationSeparator" w:id="0">
    <w:p w:rsidR="00F41D4C" w:rsidRDefault="00F41D4C" w:rsidP="00871565">
      <w:pPr>
        <w:ind w:left="0"/>
      </w:pPr>
      <w:r>
        <w:continuationSeparator/>
      </w:r>
    </w:p>
  </w:footnote>
  <w:footnote w:type="continuationNotice" w:id="1">
    <w:p w:rsidR="00F41D4C" w:rsidRDefault="00F41D4C"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114F47CC" wp14:editId="298226C4">
          <wp:extent cx="3328035" cy="700405"/>
          <wp:effectExtent l="0" t="0" r="5715" b="4445"/>
          <wp:docPr id="3" name="Picture 3"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6850"/>
      <w:gridCol w:w="3425"/>
    </w:tblGrid>
    <w:tr w:rsidR="00A2309A" w:rsidTr="00FF7641">
      <w:trPr>
        <w:trHeight w:val="1150"/>
      </w:trPr>
      <w:tc>
        <w:tcPr>
          <w:tcW w:w="6973" w:type="dxa"/>
          <w:shd w:val="clear" w:color="auto" w:fill="auto"/>
        </w:tcPr>
        <w:tbl>
          <w:tblPr>
            <w:tblW w:w="10915" w:type="dxa"/>
            <w:tblCellMar>
              <w:left w:w="0" w:type="dxa"/>
              <w:right w:w="0" w:type="dxa"/>
            </w:tblCellMar>
            <w:tblLook w:val="04A0" w:firstRow="1" w:lastRow="0" w:firstColumn="1" w:lastColumn="0" w:noHBand="0" w:noVBand="1"/>
          </w:tblPr>
          <w:tblGrid>
            <w:gridCol w:w="3425"/>
            <w:gridCol w:w="3425"/>
          </w:tblGrid>
          <w:tr w:rsidR="00BD3BEB" w:rsidRPr="00996FCE" w:rsidTr="00E52D9D">
            <w:tc>
              <w:tcPr>
                <w:tcW w:w="6804" w:type="dxa"/>
              </w:tcPr>
              <w:tbl>
                <w:tblPr>
                  <w:tblW w:w="10915" w:type="dxa"/>
                  <w:tblCellMar>
                    <w:left w:w="0" w:type="dxa"/>
                    <w:right w:w="0" w:type="dxa"/>
                  </w:tblCellMar>
                  <w:tblLook w:val="04A0" w:firstRow="1" w:lastRow="0" w:firstColumn="1" w:lastColumn="0" w:noHBand="0" w:noVBand="1"/>
                </w:tblPr>
                <w:tblGrid>
                  <w:gridCol w:w="6990"/>
                  <w:gridCol w:w="3925"/>
                </w:tblGrid>
                <w:tr w:rsidR="00BD3BEB" w:rsidRPr="00ED3D12" w:rsidTr="005803B4">
                  <w:tc>
                    <w:tcPr>
                      <w:tcW w:w="6804" w:type="dxa"/>
                      <w:hideMark/>
                    </w:tcPr>
                    <w:p w:rsidR="00BD3BEB" w:rsidRPr="00ED3D12" w:rsidRDefault="00BD3BEB" w:rsidP="00BD3BEB">
                      <w:pPr>
                        <w:pStyle w:val="MediumGrid21"/>
                      </w:pPr>
                      <w:r w:rsidRPr="00ED3D12">
                        <w:rPr>
                          <w:noProof/>
                          <w:lang w:val="ro-RO" w:eastAsia="ro-RO"/>
                        </w:rPr>
                        <w:drawing>
                          <wp:inline distT="0" distB="0" distL="0" distR="0" wp14:anchorId="3383075D" wp14:editId="44BE46EA">
                            <wp:extent cx="4436745" cy="1256030"/>
                            <wp:effectExtent l="0" t="0" r="1905" b="1270"/>
                            <wp:docPr id="4" name="Picture 4"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4111" w:type="dxa"/>
                      <w:vAlign w:val="center"/>
                      <w:hideMark/>
                    </w:tcPr>
                    <w:p w:rsidR="00BD3BEB" w:rsidRPr="00ED3D12" w:rsidRDefault="00BD3BEB" w:rsidP="00BD3BEB">
                      <w:pPr>
                        <w:pStyle w:val="MediumGrid21"/>
                        <w:jc w:val="right"/>
                      </w:pPr>
                    </w:p>
                  </w:tc>
                </w:tr>
              </w:tbl>
              <w:p w:rsidR="00BD3BEB" w:rsidRDefault="00BD3BEB" w:rsidP="00BD3BEB"/>
            </w:tc>
            <w:tc>
              <w:tcPr>
                <w:tcW w:w="4111" w:type="dxa"/>
              </w:tcPr>
              <w:tbl>
                <w:tblPr>
                  <w:tblW w:w="10915" w:type="dxa"/>
                  <w:tblCellMar>
                    <w:left w:w="0" w:type="dxa"/>
                    <w:right w:w="0" w:type="dxa"/>
                  </w:tblCellMar>
                  <w:tblLook w:val="04A0" w:firstRow="1" w:lastRow="0" w:firstColumn="1" w:lastColumn="0" w:noHBand="0" w:noVBand="1"/>
                </w:tblPr>
                <w:tblGrid>
                  <w:gridCol w:w="6804"/>
                  <w:gridCol w:w="4111"/>
                </w:tblGrid>
                <w:tr w:rsidR="00BD3BEB" w:rsidRPr="00ED3D12" w:rsidTr="005803B4">
                  <w:tc>
                    <w:tcPr>
                      <w:tcW w:w="6804" w:type="dxa"/>
                      <w:hideMark/>
                    </w:tcPr>
                    <w:p w:rsidR="00BD3BEB" w:rsidRPr="00ED3D12" w:rsidRDefault="00BD3BEB" w:rsidP="00BD3BEB">
                      <w:pPr>
                        <w:pStyle w:val="MediumGrid21"/>
                      </w:pPr>
                    </w:p>
                  </w:tc>
                  <w:tc>
                    <w:tcPr>
                      <w:tcW w:w="4111" w:type="dxa"/>
                      <w:vAlign w:val="center"/>
                      <w:hideMark/>
                    </w:tcPr>
                    <w:p w:rsidR="00BD3BEB" w:rsidRPr="00ED3D12" w:rsidRDefault="00BD3BEB" w:rsidP="00BD3BEB">
                      <w:pPr>
                        <w:pStyle w:val="MediumGrid21"/>
                        <w:jc w:val="right"/>
                      </w:pPr>
                      <w:r w:rsidRPr="00ED3D12">
                        <w:rPr>
                          <w:noProof/>
                          <w:lang w:val="ro-RO" w:eastAsia="ro-RO"/>
                        </w:rPr>
                        <w:drawing>
                          <wp:inline distT="0" distB="0" distL="0" distR="0" wp14:anchorId="52B34776" wp14:editId="42C96C82">
                            <wp:extent cx="1685925" cy="5803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inline>
                        </w:drawing>
                      </w:r>
                    </w:p>
                  </w:tc>
                </w:tr>
              </w:tbl>
              <w:p w:rsidR="00BD3BEB" w:rsidRDefault="00BD3BEB" w:rsidP="00BD3BEB"/>
            </w:tc>
          </w:tr>
        </w:tbl>
        <w:p w:rsidR="00A2309A" w:rsidRDefault="00A2309A" w:rsidP="00A2309A"/>
      </w:tc>
      <w:tc>
        <w:tcPr>
          <w:tcW w:w="87" w:type="dxa"/>
          <w:shd w:val="clear" w:color="auto" w:fill="auto"/>
        </w:tcPr>
        <w:tbl>
          <w:tblPr>
            <w:tblW w:w="10915" w:type="dxa"/>
            <w:tblCellMar>
              <w:left w:w="0" w:type="dxa"/>
              <w:right w:w="0" w:type="dxa"/>
            </w:tblCellMar>
            <w:tblLook w:val="04A0" w:firstRow="1" w:lastRow="0" w:firstColumn="1" w:lastColumn="0" w:noHBand="0" w:noVBand="1"/>
          </w:tblPr>
          <w:tblGrid>
            <w:gridCol w:w="6804"/>
            <w:gridCol w:w="4111"/>
          </w:tblGrid>
          <w:tr w:rsidR="00A2309A" w:rsidRPr="00996FCE" w:rsidTr="008B5762">
            <w:tc>
              <w:tcPr>
                <w:tcW w:w="6804" w:type="dxa"/>
                <w:hideMark/>
              </w:tcPr>
              <w:p w:rsidR="00A2309A" w:rsidRPr="00996FCE" w:rsidRDefault="00A2309A" w:rsidP="00A2309A">
                <w:pPr>
                  <w:pStyle w:val="MediumGrid21"/>
                </w:pPr>
              </w:p>
            </w:tc>
            <w:tc>
              <w:tcPr>
                <w:tcW w:w="4111" w:type="dxa"/>
                <w:vAlign w:val="center"/>
                <w:hideMark/>
              </w:tcPr>
              <w:p w:rsidR="00A2309A" w:rsidRPr="00996FCE" w:rsidRDefault="00A2309A" w:rsidP="00A2309A">
                <w:pPr>
                  <w:pStyle w:val="MediumGrid21"/>
                  <w:jc w:val="right"/>
                </w:pPr>
                <w:r w:rsidRPr="00996FCE">
                  <w:rPr>
                    <w:noProof/>
                    <w:lang w:val="ro-RO" w:eastAsia="ro-RO"/>
                  </w:rPr>
                  <w:drawing>
                    <wp:inline distT="0" distB="0" distL="0" distR="0" wp14:anchorId="44548D9E" wp14:editId="7AC9D0CB">
                      <wp:extent cx="1685925" cy="5803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inline>
                  </w:drawing>
                </w:r>
              </w:p>
            </w:tc>
          </w:tr>
        </w:tbl>
        <w:p w:rsidR="00A2309A" w:rsidRDefault="00A2309A" w:rsidP="00A2309A"/>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053"/>
    <w:multiLevelType w:val="hybridMultilevel"/>
    <w:tmpl w:val="2E7A5750"/>
    <w:lvl w:ilvl="0" w:tplc="9D068766">
      <w:numFmt w:val="bullet"/>
      <w:lvlText w:val="-"/>
      <w:lvlJc w:val="left"/>
      <w:pPr>
        <w:ind w:left="720" w:hanging="360"/>
      </w:pPr>
      <w:rPr>
        <w:rFonts w:ascii="Trebuchet MS" w:eastAsia="MS Mincho"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642D50"/>
    <w:multiLevelType w:val="multilevel"/>
    <w:tmpl w:val="0324E9F0"/>
    <w:lvl w:ilvl="0">
      <w:start w:val="3"/>
      <w:numFmt w:val="decimal"/>
      <w:lvlText w:val="%1"/>
      <w:lvlJc w:val="left"/>
      <w:pPr>
        <w:ind w:left="360" w:hanging="360"/>
      </w:pPr>
      <w:rPr>
        <w:rFonts w:hint="default"/>
        <w:b/>
      </w:rPr>
    </w:lvl>
    <w:lvl w:ilvl="1">
      <w:start w:val="2"/>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6"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7" w15:restartNumberingAfterBreak="0">
    <w:nsid w:val="25F608EF"/>
    <w:multiLevelType w:val="hybridMultilevel"/>
    <w:tmpl w:val="D4E639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2"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3"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B40745"/>
    <w:multiLevelType w:val="hybridMultilevel"/>
    <w:tmpl w:val="28408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F63283A"/>
    <w:multiLevelType w:val="hybridMultilevel"/>
    <w:tmpl w:val="0908E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3"/>
  </w:num>
  <w:num w:numId="2">
    <w:abstractNumId w:val="11"/>
  </w:num>
  <w:num w:numId="3">
    <w:abstractNumId w:val="17"/>
  </w:num>
  <w:num w:numId="4">
    <w:abstractNumId w:val="2"/>
  </w:num>
  <w:num w:numId="5">
    <w:abstractNumId w:val="13"/>
  </w:num>
  <w:num w:numId="6">
    <w:abstractNumId w:val="10"/>
  </w:num>
  <w:num w:numId="7">
    <w:abstractNumId w:val="6"/>
  </w:num>
  <w:num w:numId="8">
    <w:abstractNumId w:val="21"/>
  </w:num>
  <w:num w:numId="9">
    <w:abstractNumId w:val="4"/>
  </w:num>
  <w:num w:numId="10">
    <w:abstractNumId w:val="19"/>
  </w:num>
  <w:num w:numId="11">
    <w:abstractNumId w:val="12"/>
  </w:num>
  <w:num w:numId="12">
    <w:abstractNumId w:val="15"/>
  </w:num>
  <w:num w:numId="13">
    <w:abstractNumId w:val="1"/>
  </w:num>
  <w:num w:numId="14">
    <w:abstractNumId w:val="18"/>
  </w:num>
  <w:num w:numId="15">
    <w:abstractNumId w:val="9"/>
  </w:num>
  <w:num w:numId="16">
    <w:abstractNumId w:val="20"/>
  </w:num>
  <w:num w:numId="17">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7"/>
  </w:num>
  <w:num w:numId="21">
    <w:abstractNumId w:val="5"/>
  </w:num>
  <w:num w:numId="22">
    <w:abstractNumId w:val="8"/>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775"/>
    <w:rsid w:val="00057368"/>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D502B"/>
    <w:rsid w:val="000D6AAF"/>
    <w:rsid w:val="000D6C9E"/>
    <w:rsid w:val="000E035E"/>
    <w:rsid w:val="000E07D8"/>
    <w:rsid w:val="000E1BC0"/>
    <w:rsid w:val="000F1D68"/>
    <w:rsid w:val="000F2DE7"/>
    <w:rsid w:val="000F52D3"/>
    <w:rsid w:val="000F559E"/>
    <w:rsid w:val="000F7356"/>
    <w:rsid w:val="000F7B1D"/>
    <w:rsid w:val="000F7BB7"/>
    <w:rsid w:val="00100F36"/>
    <w:rsid w:val="001060BD"/>
    <w:rsid w:val="00107710"/>
    <w:rsid w:val="001118DC"/>
    <w:rsid w:val="00112ACD"/>
    <w:rsid w:val="0011404E"/>
    <w:rsid w:val="00115640"/>
    <w:rsid w:val="001177C6"/>
    <w:rsid w:val="00122F25"/>
    <w:rsid w:val="00125BE4"/>
    <w:rsid w:val="00125F8B"/>
    <w:rsid w:val="0012612A"/>
    <w:rsid w:val="001267CF"/>
    <w:rsid w:val="0012734E"/>
    <w:rsid w:val="00130A96"/>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31F4"/>
    <w:rsid w:val="001D3357"/>
    <w:rsid w:val="001D4ACE"/>
    <w:rsid w:val="001D70CC"/>
    <w:rsid w:val="001E20AF"/>
    <w:rsid w:val="001E62B7"/>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21105"/>
    <w:rsid w:val="00224C85"/>
    <w:rsid w:val="00227D6C"/>
    <w:rsid w:val="00230E58"/>
    <w:rsid w:val="0023115F"/>
    <w:rsid w:val="0023192E"/>
    <w:rsid w:val="002320DF"/>
    <w:rsid w:val="00235ECB"/>
    <w:rsid w:val="00241FD3"/>
    <w:rsid w:val="00243B8A"/>
    <w:rsid w:val="00250622"/>
    <w:rsid w:val="002506E7"/>
    <w:rsid w:val="002601C8"/>
    <w:rsid w:val="002623C5"/>
    <w:rsid w:val="0026360E"/>
    <w:rsid w:val="00265F66"/>
    <w:rsid w:val="002662A0"/>
    <w:rsid w:val="002663C7"/>
    <w:rsid w:val="00266983"/>
    <w:rsid w:val="002705AE"/>
    <w:rsid w:val="00273485"/>
    <w:rsid w:val="0027407B"/>
    <w:rsid w:val="002741D7"/>
    <w:rsid w:val="002752C6"/>
    <w:rsid w:val="0027580C"/>
    <w:rsid w:val="00277803"/>
    <w:rsid w:val="00281915"/>
    <w:rsid w:val="002830CD"/>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2FA4"/>
    <w:rsid w:val="002B6BCB"/>
    <w:rsid w:val="002C1A2D"/>
    <w:rsid w:val="002C4204"/>
    <w:rsid w:val="002C5055"/>
    <w:rsid w:val="002D48F0"/>
    <w:rsid w:val="002D7B6F"/>
    <w:rsid w:val="002E34AD"/>
    <w:rsid w:val="002E423E"/>
    <w:rsid w:val="002E5B5D"/>
    <w:rsid w:val="002E6507"/>
    <w:rsid w:val="002F249F"/>
    <w:rsid w:val="002F452E"/>
    <w:rsid w:val="002F521F"/>
    <w:rsid w:val="002F742D"/>
    <w:rsid w:val="00310B69"/>
    <w:rsid w:val="003158FC"/>
    <w:rsid w:val="00317598"/>
    <w:rsid w:val="00322929"/>
    <w:rsid w:val="0032422C"/>
    <w:rsid w:val="00324593"/>
    <w:rsid w:val="00324EEB"/>
    <w:rsid w:val="00325A6A"/>
    <w:rsid w:val="003266EB"/>
    <w:rsid w:val="00332146"/>
    <w:rsid w:val="00332C4A"/>
    <w:rsid w:val="003334DC"/>
    <w:rsid w:val="00335167"/>
    <w:rsid w:val="003367C4"/>
    <w:rsid w:val="00337152"/>
    <w:rsid w:val="00343C57"/>
    <w:rsid w:val="0036150D"/>
    <w:rsid w:val="00364A26"/>
    <w:rsid w:val="003677C6"/>
    <w:rsid w:val="00370E44"/>
    <w:rsid w:val="0037270B"/>
    <w:rsid w:val="00372B85"/>
    <w:rsid w:val="0037387C"/>
    <w:rsid w:val="0037701F"/>
    <w:rsid w:val="00381405"/>
    <w:rsid w:val="00381CA8"/>
    <w:rsid w:val="00383188"/>
    <w:rsid w:val="00387A0A"/>
    <w:rsid w:val="003903D5"/>
    <w:rsid w:val="00390BED"/>
    <w:rsid w:val="003922C9"/>
    <w:rsid w:val="00394923"/>
    <w:rsid w:val="00395617"/>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3F6A89"/>
    <w:rsid w:val="004002D3"/>
    <w:rsid w:val="00403551"/>
    <w:rsid w:val="00403C2B"/>
    <w:rsid w:val="004100D9"/>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2154"/>
    <w:rsid w:val="00474333"/>
    <w:rsid w:val="00477197"/>
    <w:rsid w:val="00481D17"/>
    <w:rsid w:val="004827BF"/>
    <w:rsid w:val="004840A3"/>
    <w:rsid w:val="00485FB9"/>
    <w:rsid w:val="00486CE8"/>
    <w:rsid w:val="00490A11"/>
    <w:rsid w:val="00491381"/>
    <w:rsid w:val="00491BA6"/>
    <w:rsid w:val="00493AD5"/>
    <w:rsid w:val="00494268"/>
    <w:rsid w:val="00497600"/>
    <w:rsid w:val="004A1068"/>
    <w:rsid w:val="004A1B18"/>
    <w:rsid w:val="004A4773"/>
    <w:rsid w:val="004B20A4"/>
    <w:rsid w:val="004B317C"/>
    <w:rsid w:val="004B3ED1"/>
    <w:rsid w:val="004B5A6F"/>
    <w:rsid w:val="004B6FB0"/>
    <w:rsid w:val="004C2B73"/>
    <w:rsid w:val="004C3294"/>
    <w:rsid w:val="004D3176"/>
    <w:rsid w:val="004D543B"/>
    <w:rsid w:val="004D673A"/>
    <w:rsid w:val="004E1E23"/>
    <w:rsid w:val="004E261E"/>
    <w:rsid w:val="004E5F27"/>
    <w:rsid w:val="004F094D"/>
    <w:rsid w:val="004F261B"/>
    <w:rsid w:val="00502401"/>
    <w:rsid w:val="00503810"/>
    <w:rsid w:val="00505A60"/>
    <w:rsid w:val="00510B55"/>
    <w:rsid w:val="00516298"/>
    <w:rsid w:val="00522540"/>
    <w:rsid w:val="005242B1"/>
    <w:rsid w:val="00524C7E"/>
    <w:rsid w:val="00536590"/>
    <w:rsid w:val="005372E2"/>
    <w:rsid w:val="00543045"/>
    <w:rsid w:val="0054392A"/>
    <w:rsid w:val="00543F27"/>
    <w:rsid w:val="005440EC"/>
    <w:rsid w:val="00546945"/>
    <w:rsid w:val="00551624"/>
    <w:rsid w:val="005524C2"/>
    <w:rsid w:val="005528E9"/>
    <w:rsid w:val="0055536D"/>
    <w:rsid w:val="00557651"/>
    <w:rsid w:val="0056170A"/>
    <w:rsid w:val="00561CA5"/>
    <w:rsid w:val="00566350"/>
    <w:rsid w:val="005910E3"/>
    <w:rsid w:val="00592CD8"/>
    <w:rsid w:val="0059445F"/>
    <w:rsid w:val="00596452"/>
    <w:rsid w:val="0059718F"/>
    <w:rsid w:val="00597BB2"/>
    <w:rsid w:val="005A43E6"/>
    <w:rsid w:val="005A4BB7"/>
    <w:rsid w:val="005A4CA1"/>
    <w:rsid w:val="005C379D"/>
    <w:rsid w:val="005D36B6"/>
    <w:rsid w:val="005D501A"/>
    <w:rsid w:val="005D6391"/>
    <w:rsid w:val="005E395E"/>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7879"/>
    <w:rsid w:val="00620991"/>
    <w:rsid w:val="006242DA"/>
    <w:rsid w:val="006248CD"/>
    <w:rsid w:val="00624C4F"/>
    <w:rsid w:val="0062618D"/>
    <w:rsid w:val="0062659B"/>
    <w:rsid w:val="006275E6"/>
    <w:rsid w:val="00646733"/>
    <w:rsid w:val="00647355"/>
    <w:rsid w:val="00651A07"/>
    <w:rsid w:val="00651D05"/>
    <w:rsid w:val="00652237"/>
    <w:rsid w:val="00652A2F"/>
    <w:rsid w:val="006533D7"/>
    <w:rsid w:val="00655D11"/>
    <w:rsid w:val="00661F09"/>
    <w:rsid w:val="006621F2"/>
    <w:rsid w:val="006625D9"/>
    <w:rsid w:val="0066298F"/>
    <w:rsid w:val="00663B63"/>
    <w:rsid w:val="00665D92"/>
    <w:rsid w:val="00673E7F"/>
    <w:rsid w:val="00675588"/>
    <w:rsid w:val="0067561C"/>
    <w:rsid w:val="00677FEB"/>
    <w:rsid w:val="00680CB2"/>
    <w:rsid w:val="006810B2"/>
    <w:rsid w:val="00685348"/>
    <w:rsid w:val="00685A41"/>
    <w:rsid w:val="00690200"/>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B61AD"/>
    <w:rsid w:val="006C3BFA"/>
    <w:rsid w:val="006C7CF1"/>
    <w:rsid w:val="006D4187"/>
    <w:rsid w:val="006D607A"/>
    <w:rsid w:val="006D6E95"/>
    <w:rsid w:val="006D7102"/>
    <w:rsid w:val="006D7378"/>
    <w:rsid w:val="006E1891"/>
    <w:rsid w:val="006E2A2A"/>
    <w:rsid w:val="006E3006"/>
    <w:rsid w:val="006E5A2A"/>
    <w:rsid w:val="006E5C2B"/>
    <w:rsid w:val="006E658C"/>
    <w:rsid w:val="006E660A"/>
    <w:rsid w:val="006F0C3E"/>
    <w:rsid w:val="006F31AB"/>
    <w:rsid w:val="006F497F"/>
    <w:rsid w:val="006F5C78"/>
    <w:rsid w:val="00700103"/>
    <w:rsid w:val="00700BDF"/>
    <w:rsid w:val="00701141"/>
    <w:rsid w:val="00710C4A"/>
    <w:rsid w:val="00722BEC"/>
    <w:rsid w:val="00725192"/>
    <w:rsid w:val="00725F2C"/>
    <w:rsid w:val="00727B61"/>
    <w:rsid w:val="00730C7B"/>
    <w:rsid w:val="00732FFE"/>
    <w:rsid w:val="00733A0D"/>
    <w:rsid w:val="007347C1"/>
    <w:rsid w:val="00735AE9"/>
    <w:rsid w:val="007418EE"/>
    <w:rsid w:val="00743D2D"/>
    <w:rsid w:val="0074528F"/>
    <w:rsid w:val="00745B2F"/>
    <w:rsid w:val="00752F57"/>
    <w:rsid w:val="007550FF"/>
    <w:rsid w:val="0075653A"/>
    <w:rsid w:val="00761861"/>
    <w:rsid w:val="00761EBA"/>
    <w:rsid w:val="00762684"/>
    <w:rsid w:val="00763FF6"/>
    <w:rsid w:val="007646B7"/>
    <w:rsid w:val="00766A3B"/>
    <w:rsid w:val="00766E0E"/>
    <w:rsid w:val="00773184"/>
    <w:rsid w:val="00773E15"/>
    <w:rsid w:val="0077419F"/>
    <w:rsid w:val="0077449D"/>
    <w:rsid w:val="007744CC"/>
    <w:rsid w:val="00775033"/>
    <w:rsid w:val="007848E2"/>
    <w:rsid w:val="007876F2"/>
    <w:rsid w:val="00787877"/>
    <w:rsid w:val="007879C6"/>
    <w:rsid w:val="0079371E"/>
    <w:rsid w:val="007950B2"/>
    <w:rsid w:val="00796715"/>
    <w:rsid w:val="00796B28"/>
    <w:rsid w:val="00797242"/>
    <w:rsid w:val="007A3968"/>
    <w:rsid w:val="007A7EDD"/>
    <w:rsid w:val="007B15B4"/>
    <w:rsid w:val="007B1D57"/>
    <w:rsid w:val="007B4F81"/>
    <w:rsid w:val="007B53D0"/>
    <w:rsid w:val="007B6A9E"/>
    <w:rsid w:val="007B6AB5"/>
    <w:rsid w:val="007B6C42"/>
    <w:rsid w:val="007C26A3"/>
    <w:rsid w:val="007C391C"/>
    <w:rsid w:val="007C6F93"/>
    <w:rsid w:val="007C7BFF"/>
    <w:rsid w:val="007D54C3"/>
    <w:rsid w:val="007E3399"/>
    <w:rsid w:val="007E4438"/>
    <w:rsid w:val="007E5763"/>
    <w:rsid w:val="007E7D11"/>
    <w:rsid w:val="007F18EE"/>
    <w:rsid w:val="007F3126"/>
    <w:rsid w:val="007F5E55"/>
    <w:rsid w:val="007F70A8"/>
    <w:rsid w:val="007F7A53"/>
    <w:rsid w:val="007F7C1E"/>
    <w:rsid w:val="00803BF3"/>
    <w:rsid w:val="00814FA9"/>
    <w:rsid w:val="008231E2"/>
    <w:rsid w:val="00823817"/>
    <w:rsid w:val="00825438"/>
    <w:rsid w:val="00840F14"/>
    <w:rsid w:val="00843FC4"/>
    <w:rsid w:val="00847D04"/>
    <w:rsid w:val="008508E9"/>
    <w:rsid w:val="00857153"/>
    <w:rsid w:val="00857A07"/>
    <w:rsid w:val="00857A1C"/>
    <w:rsid w:val="008626DC"/>
    <w:rsid w:val="008628DD"/>
    <w:rsid w:val="0086311E"/>
    <w:rsid w:val="00867589"/>
    <w:rsid w:val="00867921"/>
    <w:rsid w:val="00871565"/>
    <w:rsid w:val="00871DA8"/>
    <w:rsid w:val="00872F55"/>
    <w:rsid w:val="00873D03"/>
    <w:rsid w:val="00877919"/>
    <w:rsid w:val="0088227C"/>
    <w:rsid w:val="0088270B"/>
    <w:rsid w:val="0088333E"/>
    <w:rsid w:val="00884137"/>
    <w:rsid w:val="00894F32"/>
    <w:rsid w:val="00896838"/>
    <w:rsid w:val="00896E8F"/>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215"/>
    <w:rsid w:val="008B63B2"/>
    <w:rsid w:val="008B76BD"/>
    <w:rsid w:val="008C1BA3"/>
    <w:rsid w:val="008D001C"/>
    <w:rsid w:val="008D1F5C"/>
    <w:rsid w:val="008D3CB8"/>
    <w:rsid w:val="008D43B0"/>
    <w:rsid w:val="008D4718"/>
    <w:rsid w:val="008D7233"/>
    <w:rsid w:val="008D72EB"/>
    <w:rsid w:val="008E28CA"/>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E55"/>
    <w:rsid w:val="00942F84"/>
    <w:rsid w:val="00944400"/>
    <w:rsid w:val="0094530E"/>
    <w:rsid w:val="00953640"/>
    <w:rsid w:val="009543C0"/>
    <w:rsid w:val="00972C84"/>
    <w:rsid w:val="00974016"/>
    <w:rsid w:val="00974964"/>
    <w:rsid w:val="009753FB"/>
    <w:rsid w:val="009762F0"/>
    <w:rsid w:val="00982191"/>
    <w:rsid w:val="00982CF6"/>
    <w:rsid w:val="009920D0"/>
    <w:rsid w:val="00992D3E"/>
    <w:rsid w:val="009A0891"/>
    <w:rsid w:val="009A0997"/>
    <w:rsid w:val="009A4844"/>
    <w:rsid w:val="009A7A96"/>
    <w:rsid w:val="009A7B23"/>
    <w:rsid w:val="009B0AE1"/>
    <w:rsid w:val="009B6FB2"/>
    <w:rsid w:val="009C32C8"/>
    <w:rsid w:val="009C7C82"/>
    <w:rsid w:val="009C7EEA"/>
    <w:rsid w:val="009D0C6F"/>
    <w:rsid w:val="009D3493"/>
    <w:rsid w:val="009D4E43"/>
    <w:rsid w:val="009D563D"/>
    <w:rsid w:val="009D671C"/>
    <w:rsid w:val="009E00C6"/>
    <w:rsid w:val="009E015F"/>
    <w:rsid w:val="009E0D99"/>
    <w:rsid w:val="009E3626"/>
    <w:rsid w:val="009E4870"/>
    <w:rsid w:val="009E62EC"/>
    <w:rsid w:val="009E7609"/>
    <w:rsid w:val="009F1001"/>
    <w:rsid w:val="009F1106"/>
    <w:rsid w:val="009F30AC"/>
    <w:rsid w:val="009F4DE7"/>
    <w:rsid w:val="009F5E9D"/>
    <w:rsid w:val="009F6B8D"/>
    <w:rsid w:val="009F77E9"/>
    <w:rsid w:val="00A0558E"/>
    <w:rsid w:val="00A06888"/>
    <w:rsid w:val="00A06CE1"/>
    <w:rsid w:val="00A06E22"/>
    <w:rsid w:val="00A07352"/>
    <w:rsid w:val="00A10B1C"/>
    <w:rsid w:val="00A119BE"/>
    <w:rsid w:val="00A13890"/>
    <w:rsid w:val="00A14C40"/>
    <w:rsid w:val="00A158AC"/>
    <w:rsid w:val="00A209FF"/>
    <w:rsid w:val="00A2214F"/>
    <w:rsid w:val="00A2309A"/>
    <w:rsid w:val="00A23EEF"/>
    <w:rsid w:val="00A243A9"/>
    <w:rsid w:val="00A24D68"/>
    <w:rsid w:val="00A323AB"/>
    <w:rsid w:val="00A35B4B"/>
    <w:rsid w:val="00A470A6"/>
    <w:rsid w:val="00A47780"/>
    <w:rsid w:val="00A50976"/>
    <w:rsid w:val="00A5217E"/>
    <w:rsid w:val="00A536F2"/>
    <w:rsid w:val="00A54A23"/>
    <w:rsid w:val="00A64DA4"/>
    <w:rsid w:val="00A650B7"/>
    <w:rsid w:val="00A65CE5"/>
    <w:rsid w:val="00A678FC"/>
    <w:rsid w:val="00A71916"/>
    <w:rsid w:val="00A725A7"/>
    <w:rsid w:val="00A74D2C"/>
    <w:rsid w:val="00A75794"/>
    <w:rsid w:val="00A7669D"/>
    <w:rsid w:val="00A8033D"/>
    <w:rsid w:val="00A811A6"/>
    <w:rsid w:val="00A851E9"/>
    <w:rsid w:val="00A8655F"/>
    <w:rsid w:val="00A87C3D"/>
    <w:rsid w:val="00A90813"/>
    <w:rsid w:val="00A9242B"/>
    <w:rsid w:val="00A95165"/>
    <w:rsid w:val="00A9654B"/>
    <w:rsid w:val="00AA2346"/>
    <w:rsid w:val="00AA27A9"/>
    <w:rsid w:val="00AA3182"/>
    <w:rsid w:val="00AA7330"/>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25599"/>
    <w:rsid w:val="00B25B50"/>
    <w:rsid w:val="00B26A86"/>
    <w:rsid w:val="00B26B80"/>
    <w:rsid w:val="00B307F7"/>
    <w:rsid w:val="00B311E5"/>
    <w:rsid w:val="00B32982"/>
    <w:rsid w:val="00B3739C"/>
    <w:rsid w:val="00B374A8"/>
    <w:rsid w:val="00B3784D"/>
    <w:rsid w:val="00B420D4"/>
    <w:rsid w:val="00B42C70"/>
    <w:rsid w:val="00B44944"/>
    <w:rsid w:val="00B46AF7"/>
    <w:rsid w:val="00B46D3C"/>
    <w:rsid w:val="00B51E9A"/>
    <w:rsid w:val="00B52A3D"/>
    <w:rsid w:val="00B5373D"/>
    <w:rsid w:val="00B55050"/>
    <w:rsid w:val="00B60F89"/>
    <w:rsid w:val="00B66E1D"/>
    <w:rsid w:val="00B711DF"/>
    <w:rsid w:val="00B71FCF"/>
    <w:rsid w:val="00B85508"/>
    <w:rsid w:val="00B92E77"/>
    <w:rsid w:val="00B95C5E"/>
    <w:rsid w:val="00B9626B"/>
    <w:rsid w:val="00B96A0E"/>
    <w:rsid w:val="00BA0EB4"/>
    <w:rsid w:val="00BA13C6"/>
    <w:rsid w:val="00BA1CFD"/>
    <w:rsid w:val="00BA2EF7"/>
    <w:rsid w:val="00BA3191"/>
    <w:rsid w:val="00BA7027"/>
    <w:rsid w:val="00BA76ED"/>
    <w:rsid w:val="00BB28CE"/>
    <w:rsid w:val="00BB334A"/>
    <w:rsid w:val="00BC2CCD"/>
    <w:rsid w:val="00BC56AE"/>
    <w:rsid w:val="00BC76AD"/>
    <w:rsid w:val="00BC7782"/>
    <w:rsid w:val="00BD2AAB"/>
    <w:rsid w:val="00BD3665"/>
    <w:rsid w:val="00BD3BEB"/>
    <w:rsid w:val="00BD4FAA"/>
    <w:rsid w:val="00BD6E4C"/>
    <w:rsid w:val="00BD7C33"/>
    <w:rsid w:val="00BE37A7"/>
    <w:rsid w:val="00BE5F59"/>
    <w:rsid w:val="00BE631C"/>
    <w:rsid w:val="00BF0878"/>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2881"/>
    <w:rsid w:val="00C35719"/>
    <w:rsid w:val="00C35D09"/>
    <w:rsid w:val="00C3729F"/>
    <w:rsid w:val="00C37FE7"/>
    <w:rsid w:val="00C432B9"/>
    <w:rsid w:val="00C50681"/>
    <w:rsid w:val="00C53E08"/>
    <w:rsid w:val="00C542FE"/>
    <w:rsid w:val="00C54591"/>
    <w:rsid w:val="00C54EB8"/>
    <w:rsid w:val="00C554CC"/>
    <w:rsid w:val="00C578C8"/>
    <w:rsid w:val="00C638D3"/>
    <w:rsid w:val="00C64201"/>
    <w:rsid w:val="00C67A49"/>
    <w:rsid w:val="00C70948"/>
    <w:rsid w:val="00C71AA2"/>
    <w:rsid w:val="00C71E75"/>
    <w:rsid w:val="00C75DB7"/>
    <w:rsid w:val="00C75F2C"/>
    <w:rsid w:val="00C80634"/>
    <w:rsid w:val="00C8129F"/>
    <w:rsid w:val="00C8187C"/>
    <w:rsid w:val="00C81C91"/>
    <w:rsid w:val="00C86DBF"/>
    <w:rsid w:val="00C93C17"/>
    <w:rsid w:val="00C9518C"/>
    <w:rsid w:val="00C95C1F"/>
    <w:rsid w:val="00C97889"/>
    <w:rsid w:val="00CA08D3"/>
    <w:rsid w:val="00CA38A4"/>
    <w:rsid w:val="00CA6FF9"/>
    <w:rsid w:val="00CB5781"/>
    <w:rsid w:val="00CB58DD"/>
    <w:rsid w:val="00CB6049"/>
    <w:rsid w:val="00CB6D54"/>
    <w:rsid w:val="00CB766D"/>
    <w:rsid w:val="00CC1501"/>
    <w:rsid w:val="00CC2CB4"/>
    <w:rsid w:val="00CC5548"/>
    <w:rsid w:val="00CC6CCE"/>
    <w:rsid w:val="00CD0C6C"/>
    <w:rsid w:val="00CD0F06"/>
    <w:rsid w:val="00CD5B3B"/>
    <w:rsid w:val="00CD762B"/>
    <w:rsid w:val="00CD7737"/>
    <w:rsid w:val="00CE1123"/>
    <w:rsid w:val="00CE1717"/>
    <w:rsid w:val="00CE46E9"/>
    <w:rsid w:val="00CE7697"/>
    <w:rsid w:val="00CF0CF8"/>
    <w:rsid w:val="00CF112E"/>
    <w:rsid w:val="00CF2E58"/>
    <w:rsid w:val="00CF4985"/>
    <w:rsid w:val="00CF4EE7"/>
    <w:rsid w:val="00CF505F"/>
    <w:rsid w:val="00D00AE4"/>
    <w:rsid w:val="00D06E9C"/>
    <w:rsid w:val="00D0775E"/>
    <w:rsid w:val="00D10B19"/>
    <w:rsid w:val="00D11722"/>
    <w:rsid w:val="00D12A8D"/>
    <w:rsid w:val="00D155A3"/>
    <w:rsid w:val="00D25732"/>
    <w:rsid w:val="00D26D13"/>
    <w:rsid w:val="00D26EB6"/>
    <w:rsid w:val="00D273E2"/>
    <w:rsid w:val="00D31978"/>
    <w:rsid w:val="00D32482"/>
    <w:rsid w:val="00D32777"/>
    <w:rsid w:val="00D327AD"/>
    <w:rsid w:val="00D34999"/>
    <w:rsid w:val="00D375D3"/>
    <w:rsid w:val="00D403B6"/>
    <w:rsid w:val="00D4187F"/>
    <w:rsid w:val="00D42166"/>
    <w:rsid w:val="00D4541F"/>
    <w:rsid w:val="00D476B7"/>
    <w:rsid w:val="00D51A51"/>
    <w:rsid w:val="00D531F7"/>
    <w:rsid w:val="00D53618"/>
    <w:rsid w:val="00D56627"/>
    <w:rsid w:val="00D56D70"/>
    <w:rsid w:val="00D60499"/>
    <w:rsid w:val="00D60FAA"/>
    <w:rsid w:val="00D62241"/>
    <w:rsid w:val="00D6521A"/>
    <w:rsid w:val="00D65A18"/>
    <w:rsid w:val="00D721D4"/>
    <w:rsid w:val="00D729B7"/>
    <w:rsid w:val="00D73F13"/>
    <w:rsid w:val="00D75797"/>
    <w:rsid w:val="00D81622"/>
    <w:rsid w:val="00D82CC5"/>
    <w:rsid w:val="00D85CEB"/>
    <w:rsid w:val="00D85D40"/>
    <w:rsid w:val="00D86F1D"/>
    <w:rsid w:val="00D90573"/>
    <w:rsid w:val="00D91217"/>
    <w:rsid w:val="00D9321D"/>
    <w:rsid w:val="00D93F53"/>
    <w:rsid w:val="00D943CF"/>
    <w:rsid w:val="00D971FE"/>
    <w:rsid w:val="00DA098C"/>
    <w:rsid w:val="00DA105B"/>
    <w:rsid w:val="00DA4C7F"/>
    <w:rsid w:val="00DB3456"/>
    <w:rsid w:val="00DB5C02"/>
    <w:rsid w:val="00DB7F61"/>
    <w:rsid w:val="00DC15B8"/>
    <w:rsid w:val="00DC2B51"/>
    <w:rsid w:val="00DC5FB1"/>
    <w:rsid w:val="00DD4D5D"/>
    <w:rsid w:val="00DE420B"/>
    <w:rsid w:val="00DF26CD"/>
    <w:rsid w:val="00DF40E3"/>
    <w:rsid w:val="00DF4C95"/>
    <w:rsid w:val="00DF6881"/>
    <w:rsid w:val="00E02AD3"/>
    <w:rsid w:val="00E04413"/>
    <w:rsid w:val="00E06EF5"/>
    <w:rsid w:val="00E07A3D"/>
    <w:rsid w:val="00E10713"/>
    <w:rsid w:val="00E14094"/>
    <w:rsid w:val="00E1563B"/>
    <w:rsid w:val="00E213BE"/>
    <w:rsid w:val="00E21BA3"/>
    <w:rsid w:val="00E24E9C"/>
    <w:rsid w:val="00E30426"/>
    <w:rsid w:val="00E30DC4"/>
    <w:rsid w:val="00E334DD"/>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83974"/>
    <w:rsid w:val="00E90A21"/>
    <w:rsid w:val="00E96646"/>
    <w:rsid w:val="00EA0F6C"/>
    <w:rsid w:val="00EA1A91"/>
    <w:rsid w:val="00EA79F4"/>
    <w:rsid w:val="00EB3F66"/>
    <w:rsid w:val="00EB50CF"/>
    <w:rsid w:val="00EB61BF"/>
    <w:rsid w:val="00EB6ABD"/>
    <w:rsid w:val="00EB71E1"/>
    <w:rsid w:val="00EC1830"/>
    <w:rsid w:val="00EC2AD1"/>
    <w:rsid w:val="00EC2F44"/>
    <w:rsid w:val="00EC4B1D"/>
    <w:rsid w:val="00EC5B65"/>
    <w:rsid w:val="00ED082C"/>
    <w:rsid w:val="00ED3ABD"/>
    <w:rsid w:val="00EE0482"/>
    <w:rsid w:val="00EE0CBA"/>
    <w:rsid w:val="00EE2A0E"/>
    <w:rsid w:val="00EE32F2"/>
    <w:rsid w:val="00EE3B82"/>
    <w:rsid w:val="00EE3C8B"/>
    <w:rsid w:val="00EE5ACE"/>
    <w:rsid w:val="00EE6B2B"/>
    <w:rsid w:val="00EF4BD9"/>
    <w:rsid w:val="00EF7320"/>
    <w:rsid w:val="00F002A4"/>
    <w:rsid w:val="00F0393A"/>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1D4C"/>
    <w:rsid w:val="00F477E1"/>
    <w:rsid w:val="00F507E2"/>
    <w:rsid w:val="00F56471"/>
    <w:rsid w:val="00F568AA"/>
    <w:rsid w:val="00F62EB0"/>
    <w:rsid w:val="00F65063"/>
    <w:rsid w:val="00F673C6"/>
    <w:rsid w:val="00F67D20"/>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69D5"/>
    <w:rsid w:val="00FB55E2"/>
    <w:rsid w:val="00FB5A95"/>
    <w:rsid w:val="00FB6D27"/>
    <w:rsid w:val="00FC342F"/>
    <w:rsid w:val="00FC4284"/>
    <w:rsid w:val="00FD0149"/>
    <w:rsid w:val="00FE0969"/>
    <w:rsid w:val="00FE13FC"/>
    <w:rsid w:val="00FE2F2C"/>
    <w:rsid w:val="00FE3065"/>
    <w:rsid w:val="00FE3573"/>
    <w:rsid w:val="00FF348B"/>
    <w:rsid w:val="00FF3A88"/>
    <w:rsid w:val="00FF3E2F"/>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936CA"/>
  <w14:defaultImageDpi w14:val="300"/>
  <w15:docId w15:val="{60F7100C-70E6-401C-9E61-E8CA1B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7119-A620-4ABF-90A4-BE274936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5</Pages>
  <Words>1825</Words>
  <Characters>10591</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Loredana Chirilov</cp:lastModifiedBy>
  <cp:revision>2</cp:revision>
  <cp:lastPrinted>2020-01-09T14:26:00Z</cp:lastPrinted>
  <dcterms:created xsi:type="dcterms:W3CDTF">2020-02-06T14:01:00Z</dcterms:created>
  <dcterms:modified xsi:type="dcterms:W3CDTF">2020-02-06T14:01:00Z</dcterms:modified>
</cp:coreProperties>
</file>